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FA" w:rsidRDefault="00E32DFA">
      <w:pPr>
        <w:jc w:val="both"/>
      </w:pPr>
    </w:p>
    <w:p w:rsidR="00E32DFA" w:rsidRDefault="0074335C">
      <w:pPr>
        <w:jc w:val="left"/>
      </w:pPr>
      <w:r>
        <w:t>As supported in the December 23, 2021 “Revised Updated Testing and Quarantine Supplemental Information to the “Interim NYSDOH Guidance for Classroom Instruction in P-12 Schools During the 2021-2022 Academic Year”” guidance memo, the Fort Ann Central School</w:t>
      </w:r>
      <w:r>
        <w:t xml:space="preserve"> District will be implementing the “Test to Stay” initiative.</w:t>
      </w:r>
    </w:p>
    <w:p w:rsidR="00E32DFA" w:rsidRDefault="00E32DFA">
      <w:pPr>
        <w:jc w:val="left"/>
      </w:pPr>
    </w:p>
    <w:p w:rsidR="00E32DFA" w:rsidRDefault="0074335C">
      <w:pPr>
        <w:jc w:val="left"/>
      </w:pPr>
      <w:r>
        <w:rPr>
          <w:u w:val="single"/>
        </w:rPr>
        <w:t xml:space="preserve">Eligibility </w:t>
      </w:r>
    </w:p>
    <w:p w:rsidR="00E32DFA" w:rsidRDefault="0074335C">
      <w:pPr>
        <w:numPr>
          <w:ilvl w:val="0"/>
          <w:numId w:val="1"/>
        </w:numPr>
        <w:pBdr>
          <w:top w:val="nil"/>
          <w:left w:val="nil"/>
          <w:bottom w:val="nil"/>
          <w:right w:val="nil"/>
          <w:between w:val="nil"/>
        </w:pBdr>
        <w:jc w:val="left"/>
      </w:pPr>
      <w:r>
        <w:rPr>
          <w:color w:val="000000"/>
        </w:rPr>
        <w:t>Only those students, faculty, or staff who have been identified as a close-contact due to a school-setting exposure are eligible</w:t>
      </w:r>
      <w:r>
        <w:t xml:space="preserve"> to participate</w:t>
      </w:r>
      <w:r>
        <w:rPr>
          <w:color w:val="000000"/>
        </w:rPr>
        <w:t>;</w:t>
      </w:r>
    </w:p>
    <w:p w:rsidR="00E32DFA" w:rsidRDefault="0074335C">
      <w:pPr>
        <w:numPr>
          <w:ilvl w:val="0"/>
          <w:numId w:val="1"/>
        </w:numPr>
        <w:pBdr>
          <w:top w:val="nil"/>
          <w:left w:val="nil"/>
          <w:bottom w:val="nil"/>
          <w:right w:val="nil"/>
          <w:between w:val="nil"/>
        </w:pBdr>
        <w:jc w:val="left"/>
      </w:pPr>
      <w:r>
        <w:rPr>
          <w:color w:val="000000"/>
        </w:rPr>
        <w:t>Both, the COVID positive individual</w:t>
      </w:r>
      <w:r>
        <w:rPr>
          <w:color w:val="000000"/>
        </w:rPr>
        <w:t xml:space="preserve"> (</w:t>
      </w:r>
      <w:r>
        <w:rPr>
          <w:i/>
          <w:color w:val="000000"/>
        </w:rPr>
        <w:t>index patient</w:t>
      </w:r>
      <w:r>
        <w:rPr>
          <w:color w:val="000000"/>
        </w:rPr>
        <w:t>) and the exposed person, mus</w:t>
      </w:r>
      <w:r>
        <w:t xml:space="preserve">t </w:t>
      </w:r>
      <w:r>
        <w:rPr>
          <w:color w:val="000000"/>
        </w:rPr>
        <w:t xml:space="preserve">have been determined that they were consistently and properly masked while in the school building </w:t>
      </w:r>
      <w:r>
        <w:t>consistent</w:t>
      </w:r>
      <w:r>
        <w:rPr>
          <w:color w:val="000000"/>
        </w:rPr>
        <w:t xml:space="preserve"> with the NYS reopening guidance;</w:t>
      </w:r>
    </w:p>
    <w:p w:rsidR="00E32DFA" w:rsidRDefault="0074335C">
      <w:pPr>
        <w:numPr>
          <w:ilvl w:val="0"/>
          <w:numId w:val="1"/>
        </w:numPr>
        <w:pBdr>
          <w:top w:val="nil"/>
          <w:left w:val="nil"/>
          <w:bottom w:val="nil"/>
          <w:right w:val="nil"/>
          <w:between w:val="nil"/>
        </w:pBdr>
        <w:jc w:val="left"/>
      </w:pPr>
      <w:r>
        <w:rPr>
          <w:color w:val="000000"/>
        </w:rPr>
        <w:t>The exposed person is asymptomatic and remains asymptomatic througho</w:t>
      </w:r>
      <w:r>
        <w:rPr>
          <w:color w:val="000000"/>
        </w:rPr>
        <w:t>ut the TTS period;</w:t>
      </w:r>
    </w:p>
    <w:p w:rsidR="00E32DFA" w:rsidRDefault="0074335C">
      <w:pPr>
        <w:numPr>
          <w:ilvl w:val="0"/>
          <w:numId w:val="1"/>
        </w:numPr>
        <w:pBdr>
          <w:top w:val="nil"/>
          <w:left w:val="nil"/>
          <w:bottom w:val="nil"/>
          <w:right w:val="nil"/>
          <w:between w:val="nil"/>
        </w:pBdr>
        <w:jc w:val="left"/>
      </w:pPr>
      <w:r>
        <w:rPr>
          <w:color w:val="000000"/>
        </w:rPr>
        <w:t xml:space="preserve">If the exposed person develops any symptoms, they will be excluded from attending school per the current school guidance and the </w:t>
      </w:r>
      <w:r>
        <w:t>TTS process will be stopped</w:t>
      </w:r>
      <w:r>
        <w:rPr>
          <w:color w:val="000000"/>
        </w:rPr>
        <w:t>;</w:t>
      </w:r>
    </w:p>
    <w:p w:rsidR="00E32DFA" w:rsidRDefault="0074335C">
      <w:pPr>
        <w:numPr>
          <w:ilvl w:val="0"/>
          <w:numId w:val="1"/>
        </w:numPr>
        <w:pBdr>
          <w:top w:val="nil"/>
          <w:left w:val="nil"/>
          <w:bottom w:val="nil"/>
          <w:right w:val="nil"/>
          <w:between w:val="nil"/>
        </w:pBdr>
        <w:jc w:val="left"/>
      </w:pPr>
      <w:bookmarkStart w:id="0" w:name="_heading=h.gjdgxs" w:colFirst="0" w:colLast="0"/>
      <w:bookmarkEnd w:id="0"/>
      <w:r>
        <w:rPr>
          <w:color w:val="000000"/>
        </w:rPr>
        <w:t xml:space="preserve">The exposed person is allowed to remain in school and ride the school bus, but </w:t>
      </w:r>
      <w:r>
        <w:rPr>
          <w:color w:val="000000"/>
        </w:rPr>
        <w:t>is prohibited from attending any after-school events, and participating in any extra-curricular activities, including: clubs</w:t>
      </w:r>
      <w:r>
        <w:t xml:space="preserve"> and</w:t>
      </w:r>
      <w:r>
        <w:rPr>
          <w:color w:val="000000"/>
        </w:rPr>
        <w:t xml:space="preserve"> interscholastic athletics</w:t>
      </w:r>
    </w:p>
    <w:p w:rsidR="00E32DFA" w:rsidRDefault="0074335C">
      <w:pPr>
        <w:numPr>
          <w:ilvl w:val="1"/>
          <w:numId w:val="1"/>
        </w:numPr>
        <w:pBdr>
          <w:top w:val="nil"/>
          <w:left w:val="nil"/>
          <w:bottom w:val="nil"/>
          <w:right w:val="nil"/>
          <w:between w:val="nil"/>
        </w:pBdr>
        <w:jc w:val="left"/>
      </w:pPr>
      <w:bookmarkStart w:id="1" w:name="_heading=h.1dqpgfxulgtn" w:colFirst="0" w:colLast="0"/>
      <w:bookmarkEnd w:id="1"/>
      <w:r>
        <w:t>The exposed person is allowed to attend chorus, band, and physical education courses, but are not per</w:t>
      </w:r>
      <w:r>
        <w:t>mitted to actively participate</w:t>
      </w:r>
      <w:r>
        <w:rPr>
          <w:color w:val="000000"/>
        </w:rPr>
        <w:t xml:space="preserve"> </w:t>
      </w:r>
    </w:p>
    <w:p w:rsidR="00E32DFA" w:rsidRDefault="00E32DFA">
      <w:pPr>
        <w:jc w:val="left"/>
      </w:pPr>
    </w:p>
    <w:p w:rsidR="00E32DFA" w:rsidRDefault="0074335C">
      <w:pPr>
        <w:jc w:val="left"/>
      </w:pPr>
      <w:r>
        <w:rPr>
          <w:u w:val="single"/>
        </w:rPr>
        <w:t>Testing</w:t>
      </w:r>
    </w:p>
    <w:p w:rsidR="00E32DFA" w:rsidRDefault="0074335C">
      <w:pPr>
        <w:numPr>
          <w:ilvl w:val="0"/>
          <w:numId w:val="2"/>
        </w:numPr>
        <w:pBdr>
          <w:top w:val="nil"/>
          <w:left w:val="nil"/>
          <w:bottom w:val="nil"/>
          <w:right w:val="nil"/>
          <w:between w:val="nil"/>
        </w:pBdr>
        <w:jc w:val="left"/>
      </w:pPr>
      <w:r>
        <w:rPr>
          <w:color w:val="000000"/>
        </w:rPr>
        <w:t>The exposed person will be tested a minimum of three times during a seven-day period following the school-based exposure, unless recognition of the exposure is delayed or a weekend or period of school break intervenes.</w:t>
      </w:r>
    </w:p>
    <w:p w:rsidR="00E32DFA" w:rsidRDefault="0074335C">
      <w:pPr>
        <w:numPr>
          <w:ilvl w:val="0"/>
          <w:numId w:val="2"/>
        </w:numPr>
        <w:pBdr>
          <w:top w:val="nil"/>
          <w:left w:val="nil"/>
          <w:bottom w:val="nil"/>
          <w:right w:val="nil"/>
          <w:between w:val="nil"/>
        </w:pBdr>
        <w:jc w:val="left"/>
      </w:pPr>
      <w:r>
        <w:rPr>
          <w:color w:val="000000"/>
        </w:rPr>
        <w:t>The specific dates of testing will be</w:t>
      </w:r>
      <w:r>
        <w:rPr>
          <w:color w:val="000000"/>
        </w:rPr>
        <w:t xml:space="preserve"> determined by the school nurse or their desig</w:t>
      </w:r>
      <w:r>
        <w:t>nee</w:t>
      </w:r>
      <w:r>
        <w:rPr>
          <w:color w:val="000000"/>
        </w:rPr>
        <w:t xml:space="preserve">.  </w:t>
      </w:r>
    </w:p>
    <w:p w:rsidR="00E32DFA" w:rsidRDefault="0074335C">
      <w:pPr>
        <w:numPr>
          <w:ilvl w:val="0"/>
          <w:numId w:val="2"/>
        </w:numPr>
        <w:pBdr>
          <w:top w:val="nil"/>
          <w:left w:val="nil"/>
          <w:bottom w:val="nil"/>
          <w:right w:val="nil"/>
          <w:between w:val="nil"/>
        </w:pBdr>
        <w:jc w:val="left"/>
      </w:pPr>
      <w:r>
        <w:rPr>
          <w:color w:val="000000"/>
        </w:rPr>
        <w:t>If the exposed person is unable to adhere to the testing dates, they will be excluded from school.</w:t>
      </w:r>
    </w:p>
    <w:p w:rsidR="00E32DFA" w:rsidRDefault="0074335C">
      <w:pPr>
        <w:numPr>
          <w:ilvl w:val="0"/>
          <w:numId w:val="2"/>
        </w:numPr>
        <w:pBdr>
          <w:top w:val="nil"/>
          <w:left w:val="nil"/>
          <w:bottom w:val="nil"/>
          <w:right w:val="nil"/>
          <w:between w:val="nil"/>
        </w:pBdr>
        <w:jc w:val="left"/>
      </w:pPr>
      <w:r>
        <w:rPr>
          <w:color w:val="000000"/>
        </w:rPr>
        <w:t>The seven-day period is measured in calendar days where the date of exposure is considered “Day 0”.</w:t>
      </w:r>
    </w:p>
    <w:p w:rsidR="00E32DFA" w:rsidRDefault="0074335C">
      <w:pPr>
        <w:numPr>
          <w:ilvl w:val="0"/>
          <w:numId w:val="2"/>
        </w:numPr>
        <w:pBdr>
          <w:top w:val="nil"/>
          <w:left w:val="nil"/>
          <w:bottom w:val="nil"/>
          <w:right w:val="nil"/>
          <w:between w:val="nil"/>
        </w:pBdr>
        <w:jc w:val="left"/>
      </w:pPr>
      <w:r>
        <w:rPr>
          <w:color w:val="000000"/>
        </w:rPr>
        <w:t xml:space="preserve">The </w:t>
      </w:r>
      <w:r>
        <w:rPr>
          <w:color w:val="000000"/>
        </w:rPr>
        <w:t>first test shall be conducted as soon as possible after the exposure is identified.  The table below is a guide for the testing schedule and may be adjusted to account for weekends, holidays, and other non-school days.  The district reserves the right to r</w:t>
      </w:r>
      <w:r>
        <w:rPr>
          <w:color w:val="000000"/>
        </w:rPr>
        <w:t>equire additional testing at our discretion</w:t>
      </w:r>
    </w:p>
    <w:p w:rsidR="00E32DFA" w:rsidRDefault="00E32DFA">
      <w:pPr>
        <w:pBdr>
          <w:top w:val="nil"/>
          <w:left w:val="nil"/>
          <w:bottom w:val="nil"/>
          <w:right w:val="nil"/>
          <w:between w:val="nil"/>
        </w:pBdr>
        <w:jc w:val="left"/>
      </w:pPr>
    </w:p>
    <w:p w:rsidR="00E32DFA" w:rsidRDefault="00E32DFA">
      <w:pPr>
        <w:pBdr>
          <w:top w:val="nil"/>
          <w:left w:val="nil"/>
          <w:bottom w:val="nil"/>
          <w:right w:val="nil"/>
          <w:between w:val="nil"/>
        </w:pBdr>
        <w:jc w:val="left"/>
      </w:pPr>
    </w:p>
    <w:p w:rsidR="00E32DFA" w:rsidRDefault="00E32DFA">
      <w:pPr>
        <w:pBdr>
          <w:top w:val="nil"/>
          <w:left w:val="nil"/>
          <w:bottom w:val="nil"/>
          <w:right w:val="nil"/>
          <w:between w:val="nil"/>
        </w:pBdr>
        <w:jc w:val="left"/>
      </w:pPr>
    </w:p>
    <w:p w:rsidR="00E32DFA" w:rsidRDefault="00E32DFA">
      <w:pPr>
        <w:pBdr>
          <w:top w:val="nil"/>
          <w:left w:val="nil"/>
          <w:bottom w:val="nil"/>
          <w:right w:val="nil"/>
          <w:between w:val="nil"/>
        </w:pBdr>
        <w:jc w:val="left"/>
      </w:pPr>
    </w:p>
    <w:p w:rsidR="00E32DFA" w:rsidRDefault="00E32DFA">
      <w:pPr>
        <w:pBdr>
          <w:top w:val="nil"/>
          <w:left w:val="nil"/>
          <w:bottom w:val="nil"/>
          <w:right w:val="nil"/>
          <w:between w:val="nil"/>
        </w:pBdr>
        <w:jc w:val="left"/>
      </w:pPr>
    </w:p>
    <w:p w:rsidR="00E32DFA" w:rsidRDefault="00E32DFA">
      <w:pPr>
        <w:pBdr>
          <w:top w:val="nil"/>
          <w:left w:val="nil"/>
          <w:bottom w:val="nil"/>
          <w:right w:val="nil"/>
          <w:between w:val="nil"/>
        </w:pBdr>
        <w:jc w:val="left"/>
      </w:pPr>
    </w:p>
    <w:p w:rsidR="00E32DFA" w:rsidRDefault="00E32DFA">
      <w:pPr>
        <w:pBdr>
          <w:top w:val="nil"/>
          <w:left w:val="nil"/>
          <w:bottom w:val="nil"/>
          <w:right w:val="nil"/>
          <w:between w:val="nil"/>
        </w:pBdr>
        <w:ind w:left="780"/>
        <w:jc w:val="left"/>
        <w:rPr>
          <w:color w:val="000000"/>
        </w:rPr>
      </w:pPr>
    </w:p>
    <w:p w:rsidR="00456071" w:rsidRDefault="00456071">
      <w:pPr>
        <w:pBdr>
          <w:top w:val="nil"/>
          <w:left w:val="nil"/>
          <w:bottom w:val="nil"/>
          <w:right w:val="nil"/>
          <w:between w:val="nil"/>
        </w:pBdr>
        <w:ind w:left="780"/>
        <w:jc w:val="left"/>
        <w:rPr>
          <w:color w:val="000000"/>
        </w:rPr>
      </w:pPr>
      <w:bookmarkStart w:id="2" w:name="_GoBack"/>
      <w:bookmarkEnd w:id="2"/>
    </w:p>
    <w:tbl>
      <w:tblPr>
        <w:tblStyle w:val="a1"/>
        <w:tblW w:w="8570"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2825"/>
        <w:gridCol w:w="2825"/>
      </w:tblGrid>
      <w:tr w:rsidR="00E32DFA">
        <w:tc>
          <w:tcPr>
            <w:tcW w:w="8570" w:type="dxa"/>
            <w:gridSpan w:val="3"/>
          </w:tcPr>
          <w:p w:rsidR="00E32DFA" w:rsidRDefault="0074335C">
            <w:pPr>
              <w:pBdr>
                <w:top w:val="nil"/>
                <w:left w:val="nil"/>
                <w:bottom w:val="nil"/>
                <w:right w:val="nil"/>
                <w:between w:val="nil"/>
              </w:pBdr>
              <w:rPr>
                <w:color w:val="000000"/>
              </w:rPr>
            </w:pPr>
            <w:r>
              <w:rPr>
                <w:color w:val="000000"/>
              </w:rPr>
              <w:lastRenderedPageBreak/>
              <w:t>Minimum Testing Cadences</w:t>
            </w:r>
          </w:p>
        </w:tc>
      </w:tr>
      <w:tr w:rsidR="00E32DFA">
        <w:tc>
          <w:tcPr>
            <w:tcW w:w="2920" w:type="dxa"/>
          </w:tcPr>
          <w:p w:rsidR="00E32DFA" w:rsidRDefault="0074335C">
            <w:pPr>
              <w:pBdr>
                <w:top w:val="nil"/>
                <w:left w:val="nil"/>
                <w:bottom w:val="nil"/>
                <w:right w:val="nil"/>
                <w:between w:val="nil"/>
              </w:pBdr>
              <w:rPr>
                <w:color w:val="000000"/>
              </w:rPr>
            </w:pPr>
            <w:r>
              <w:rPr>
                <w:color w:val="000000"/>
              </w:rPr>
              <w:t>Day of First Test</w:t>
            </w:r>
          </w:p>
        </w:tc>
        <w:tc>
          <w:tcPr>
            <w:tcW w:w="2825" w:type="dxa"/>
          </w:tcPr>
          <w:p w:rsidR="00E32DFA" w:rsidRDefault="0074335C">
            <w:pPr>
              <w:pBdr>
                <w:top w:val="nil"/>
                <w:left w:val="nil"/>
                <w:bottom w:val="nil"/>
                <w:right w:val="nil"/>
                <w:between w:val="nil"/>
              </w:pBdr>
              <w:rPr>
                <w:color w:val="000000"/>
              </w:rPr>
            </w:pPr>
            <w:r>
              <w:rPr>
                <w:color w:val="000000"/>
              </w:rPr>
              <w:t>Day of Second Test</w:t>
            </w:r>
          </w:p>
        </w:tc>
        <w:tc>
          <w:tcPr>
            <w:tcW w:w="2825" w:type="dxa"/>
          </w:tcPr>
          <w:p w:rsidR="00E32DFA" w:rsidRDefault="0074335C">
            <w:pPr>
              <w:pBdr>
                <w:top w:val="nil"/>
                <w:left w:val="nil"/>
                <w:bottom w:val="nil"/>
                <w:right w:val="nil"/>
                <w:between w:val="nil"/>
              </w:pBdr>
              <w:rPr>
                <w:color w:val="000000"/>
              </w:rPr>
            </w:pPr>
            <w:r>
              <w:rPr>
                <w:color w:val="000000"/>
              </w:rPr>
              <w:t>Day of Third Test</w:t>
            </w:r>
          </w:p>
        </w:tc>
      </w:tr>
      <w:tr w:rsidR="00E32DFA">
        <w:tc>
          <w:tcPr>
            <w:tcW w:w="2920" w:type="dxa"/>
          </w:tcPr>
          <w:p w:rsidR="00E32DFA" w:rsidRDefault="0074335C">
            <w:pPr>
              <w:pBdr>
                <w:top w:val="nil"/>
                <w:left w:val="nil"/>
                <w:bottom w:val="nil"/>
                <w:right w:val="nil"/>
                <w:between w:val="nil"/>
              </w:pBdr>
              <w:rPr>
                <w:color w:val="000000"/>
              </w:rPr>
            </w:pPr>
            <w:r>
              <w:rPr>
                <w:color w:val="000000"/>
              </w:rPr>
              <w:t>0</w:t>
            </w:r>
          </w:p>
        </w:tc>
        <w:tc>
          <w:tcPr>
            <w:tcW w:w="2825" w:type="dxa"/>
          </w:tcPr>
          <w:p w:rsidR="00E32DFA" w:rsidRDefault="0074335C">
            <w:pPr>
              <w:pBdr>
                <w:top w:val="nil"/>
                <w:left w:val="nil"/>
                <w:bottom w:val="nil"/>
                <w:right w:val="nil"/>
                <w:between w:val="nil"/>
              </w:pBdr>
              <w:rPr>
                <w:color w:val="000000"/>
              </w:rPr>
            </w:pPr>
            <w:r>
              <w:rPr>
                <w:color w:val="000000"/>
              </w:rPr>
              <w:t>2 or 3</w:t>
            </w:r>
          </w:p>
        </w:tc>
        <w:tc>
          <w:tcPr>
            <w:tcW w:w="2825" w:type="dxa"/>
          </w:tcPr>
          <w:p w:rsidR="00E32DFA" w:rsidRDefault="0074335C">
            <w:pPr>
              <w:pBdr>
                <w:top w:val="nil"/>
                <w:left w:val="nil"/>
                <w:bottom w:val="nil"/>
                <w:right w:val="nil"/>
                <w:between w:val="nil"/>
              </w:pBdr>
              <w:rPr>
                <w:color w:val="000000"/>
              </w:rPr>
            </w:pPr>
            <w:r>
              <w:rPr>
                <w:color w:val="000000"/>
              </w:rPr>
              <w:t>5, 6, or 7</w:t>
            </w:r>
          </w:p>
        </w:tc>
      </w:tr>
      <w:tr w:rsidR="00E32DFA">
        <w:tc>
          <w:tcPr>
            <w:tcW w:w="2920" w:type="dxa"/>
          </w:tcPr>
          <w:p w:rsidR="00E32DFA" w:rsidRDefault="0074335C">
            <w:pPr>
              <w:pBdr>
                <w:top w:val="nil"/>
                <w:left w:val="nil"/>
                <w:bottom w:val="nil"/>
                <w:right w:val="nil"/>
                <w:between w:val="nil"/>
              </w:pBdr>
              <w:rPr>
                <w:color w:val="000000"/>
              </w:rPr>
            </w:pPr>
            <w:r>
              <w:rPr>
                <w:color w:val="000000"/>
              </w:rPr>
              <w:t>1</w:t>
            </w:r>
          </w:p>
        </w:tc>
        <w:tc>
          <w:tcPr>
            <w:tcW w:w="2825" w:type="dxa"/>
          </w:tcPr>
          <w:p w:rsidR="00E32DFA" w:rsidRDefault="0074335C">
            <w:pPr>
              <w:pBdr>
                <w:top w:val="nil"/>
                <w:left w:val="nil"/>
                <w:bottom w:val="nil"/>
                <w:right w:val="nil"/>
                <w:between w:val="nil"/>
              </w:pBdr>
              <w:rPr>
                <w:color w:val="000000"/>
              </w:rPr>
            </w:pPr>
            <w:r>
              <w:rPr>
                <w:color w:val="000000"/>
              </w:rPr>
              <w:t>3</w:t>
            </w:r>
          </w:p>
        </w:tc>
        <w:tc>
          <w:tcPr>
            <w:tcW w:w="2825" w:type="dxa"/>
          </w:tcPr>
          <w:p w:rsidR="00E32DFA" w:rsidRDefault="0074335C">
            <w:pPr>
              <w:pBdr>
                <w:top w:val="nil"/>
                <w:left w:val="nil"/>
                <w:bottom w:val="nil"/>
                <w:right w:val="nil"/>
                <w:between w:val="nil"/>
              </w:pBdr>
              <w:rPr>
                <w:color w:val="000000"/>
              </w:rPr>
            </w:pPr>
            <w:r>
              <w:rPr>
                <w:color w:val="000000"/>
              </w:rPr>
              <w:t>5, 6, or 7</w:t>
            </w:r>
          </w:p>
        </w:tc>
      </w:tr>
      <w:tr w:rsidR="00E32DFA">
        <w:tc>
          <w:tcPr>
            <w:tcW w:w="2920" w:type="dxa"/>
          </w:tcPr>
          <w:p w:rsidR="00E32DFA" w:rsidRDefault="0074335C">
            <w:pPr>
              <w:pBdr>
                <w:top w:val="nil"/>
                <w:left w:val="nil"/>
                <w:bottom w:val="nil"/>
                <w:right w:val="nil"/>
                <w:between w:val="nil"/>
              </w:pBdr>
              <w:rPr>
                <w:color w:val="000000"/>
              </w:rPr>
            </w:pPr>
            <w:r>
              <w:rPr>
                <w:color w:val="000000"/>
              </w:rPr>
              <w:t>2</w:t>
            </w:r>
          </w:p>
        </w:tc>
        <w:tc>
          <w:tcPr>
            <w:tcW w:w="2825" w:type="dxa"/>
          </w:tcPr>
          <w:p w:rsidR="00E32DFA" w:rsidRDefault="0074335C">
            <w:pPr>
              <w:pBdr>
                <w:top w:val="nil"/>
                <w:left w:val="nil"/>
                <w:bottom w:val="nil"/>
                <w:right w:val="nil"/>
                <w:between w:val="nil"/>
              </w:pBdr>
              <w:rPr>
                <w:color w:val="000000"/>
              </w:rPr>
            </w:pPr>
            <w:r>
              <w:rPr>
                <w:color w:val="000000"/>
              </w:rPr>
              <w:t>4</w:t>
            </w:r>
          </w:p>
        </w:tc>
        <w:tc>
          <w:tcPr>
            <w:tcW w:w="2825" w:type="dxa"/>
          </w:tcPr>
          <w:p w:rsidR="00E32DFA" w:rsidRDefault="0074335C">
            <w:pPr>
              <w:pBdr>
                <w:top w:val="nil"/>
                <w:left w:val="nil"/>
                <w:bottom w:val="nil"/>
                <w:right w:val="nil"/>
                <w:between w:val="nil"/>
              </w:pBdr>
              <w:rPr>
                <w:color w:val="000000"/>
              </w:rPr>
            </w:pPr>
            <w:r>
              <w:rPr>
                <w:color w:val="000000"/>
              </w:rPr>
              <w:t>5, 6, or 7</w:t>
            </w:r>
          </w:p>
        </w:tc>
      </w:tr>
      <w:tr w:rsidR="00E32DFA">
        <w:tc>
          <w:tcPr>
            <w:tcW w:w="2920" w:type="dxa"/>
          </w:tcPr>
          <w:p w:rsidR="00E32DFA" w:rsidRDefault="0074335C">
            <w:pPr>
              <w:pBdr>
                <w:top w:val="nil"/>
                <w:left w:val="nil"/>
                <w:bottom w:val="nil"/>
                <w:right w:val="nil"/>
                <w:between w:val="nil"/>
              </w:pBdr>
              <w:rPr>
                <w:color w:val="000000"/>
              </w:rPr>
            </w:pPr>
            <w:r>
              <w:rPr>
                <w:color w:val="000000"/>
              </w:rPr>
              <w:t>3</w:t>
            </w:r>
          </w:p>
        </w:tc>
        <w:tc>
          <w:tcPr>
            <w:tcW w:w="2825" w:type="dxa"/>
          </w:tcPr>
          <w:p w:rsidR="00E32DFA" w:rsidRDefault="0074335C">
            <w:pPr>
              <w:pBdr>
                <w:top w:val="nil"/>
                <w:left w:val="nil"/>
                <w:bottom w:val="nil"/>
                <w:right w:val="nil"/>
                <w:between w:val="nil"/>
              </w:pBdr>
              <w:rPr>
                <w:color w:val="000000"/>
              </w:rPr>
            </w:pPr>
            <w:r>
              <w:rPr>
                <w:color w:val="000000"/>
              </w:rPr>
              <w:t>5, 6, or 7</w:t>
            </w:r>
          </w:p>
        </w:tc>
        <w:tc>
          <w:tcPr>
            <w:tcW w:w="2825" w:type="dxa"/>
          </w:tcPr>
          <w:p w:rsidR="00E32DFA" w:rsidRDefault="0074335C">
            <w:pPr>
              <w:pBdr>
                <w:top w:val="nil"/>
                <w:left w:val="nil"/>
                <w:bottom w:val="nil"/>
                <w:right w:val="nil"/>
                <w:between w:val="nil"/>
              </w:pBdr>
              <w:rPr>
                <w:color w:val="000000"/>
              </w:rPr>
            </w:pPr>
            <w:r>
              <w:rPr>
                <w:color w:val="000000"/>
              </w:rPr>
              <w:t>N/A</w:t>
            </w:r>
          </w:p>
        </w:tc>
      </w:tr>
      <w:tr w:rsidR="00E32DFA">
        <w:tc>
          <w:tcPr>
            <w:tcW w:w="2920" w:type="dxa"/>
          </w:tcPr>
          <w:p w:rsidR="00E32DFA" w:rsidRDefault="0074335C">
            <w:pPr>
              <w:pBdr>
                <w:top w:val="nil"/>
                <w:left w:val="nil"/>
                <w:bottom w:val="nil"/>
                <w:right w:val="nil"/>
                <w:between w:val="nil"/>
              </w:pBdr>
              <w:rPr>
                <w:color w:val="000000"/>
              </w:rPr>
            </w:pPr>
            <w:r>
              <w:rPr>
                <w:color w:val="000000"/>
              </w:rPr>
              <w:t>4</w:t>
            </w:r>
          </w:p>
        </w:tc>
        <w:tc>
          <w:tcPr>
            <w:tcW w:w="2825" w:type="dxa"/>
          </w:tcPr>
          <w:p w:rsidR="00E32DFA" w:rsidRDefault="0074335C">
            <w:pPr>
              <w:pBdr>
                <w:top w:val="nil"/>
                <w:left w:val="nil"/>
                <w:bottom w:val="nil"/>
                <w:right w:val="nil"/>
                <w:between w:val="nil"/>
              </w:pBdr>
              <w:rPr>
                <w:color w:val="000000"/>
              </w:rPr>
            </w:pPr>
            <w:r>
              <w:rPr>
                <w:color w:val="000000"/>
              </w:rPr>
              <w:t>5, 6, or 7</w:t>
            </w:r>
          </w:p>
        </w:tc>
        <w:tc>
          <w:tcPr>
            <w:tcW w:w="2825" w:type="dxa"/>
          </w:tcPr>
          <w:p w:rsidR="00E32DFA" w:rsidRDefault="0074335C">
            <w:pPr>
              <w:pBdr>
                <w:top w:val="nil"/>
                <w:left w:val="nil"/>
                <w:bottom w:val="nil"/>
                <w:right w:val="nil"/>
                <w:between w:val="nil"/>
              </w:pBdr>
              <w:rPr>
                <w:color w:val="000000"/>
              </w:rPr>
            </w:pPr>
            <w:r>
              <w:rPr>
                <w:color w:val="000000"/>
              </w:rPr>
              <w:t>N/A</w:t>
            </w:r>
          </w:p>
        </w:tc>
      </w:tr>
      <w:tr w:rsidR="00E32DFA">
        <w:tc>
          <w:tcPr>
            <w:tcW w:w="2920" w:type="dxa"/>
          </w:tcPr>
          <w:p w:rsidR="00E32DFA" w:rsidRDefault="0074335C">
            <w:pPr>
              <w:pBdr>
                <w:top w:val="nil"/>
                <w:left w:val="nil"/>
                <w:bottom w:val="nil"/>
                <w:right w:val="nil"/>
                <w:between w:val="nil"/>
              </w:pBdr>
              <w:rPr>
                <w:color w:val="000000"/>
              </w:rPr>
            </w:pPr>
            <w:r>
              <w:rPr>
                <w:color w:val="000000"/>
              </w:rPr>
              <w:t>5</w:t>
            </w:r>
          </w:p>
        </w:tc>
        <w:tc>
          <w:tcPr>
            <w:tcW w:w="2825" w:type="dxa"/>
          </w:tcPr>
          <w:p w:rsidR="00E32DFA" w:rsidRDefault="0074335C">
            <w:pPr>
              <w:pBdr>
                <w:top w:val="nil"/>
                <w:left w:val="nil"/>
                <w:bottom w:val="nil"/>
                <w:right w:val="nil"/>
                <w:between w:val="nil"/>
              </w:pBdr>
              <w:rPr>
                <w:color w:val="000000"/>
              </w:rPr>
            </w:pPr>
            <w:r>
              <w:rPr>
                <w:color w:val="000000"/>
              </w:rPr>
              <w:t>6 or 7</w:t>
            </w:r>
          </w:p>
        </w:tc>
        <w:tc>
          <w:tcPr>
            <w:tcW w:w="2825" w:type="dxa"/>
          </w:tcPr>
          <w:p w:rsidR="00E32DFA" w:rsidRDefault="0074335C">
            <w:pPr>
              <w:pBdr>
                <w:top w:val="nil"/>
                <w:left w:val="nil"/>
                <w:bottom w:val="nil"/>
                <w:right w:val="nil"/>
                <w:between w:val="nil"/>
              </w:pBdr>
              <w:rPr>
                <w:color w:val="000000"/>
              </w:rPr>
            </w:pPr>
            <w:r>
              <w:rPr>
                <w:color w:val="000000"/>
              </w:rPr>
              <w:t>N/A</w:t>
            </w:r>
          </w:p>
        </w:tc>
      </w:tr>
      <w:tr w:rsidR="00E32DFA">
        <w:tc>
          <w:tcPr>
            <w:tcW w:w="2920" w:type="dxa"/>
          </w:tcPr>
          <w:p w:rsidR="00E32DFA" w:rsidRDefault="0074335C">
            <w:pPr>
              <w:pBdr>
                <w:top w:val="nil"/>
                <w:left w:val="nil"/>
                <w:bottom w:val="nil"/>
                <w:right w:val="nil"/>
                <w:between w:val="nil"/>
              </w:pBdr>
              <w:rPr>
                <w:color w:val="000000"/>
              </w:rPr>
            </w:pPr>
            <w:r>
              <w:rPr>
                <w:color w:val="000000"/>
              </w:rPr>
              <w:t>6</w:t>
            </w:r>
          </w:p>
        </w:tc>
        <w:tc>
          <w:tcPr>
            <w:tcW w:w="2825" w:type="dxa"/>
          </w:tcPr>
          <w:p w:rsidR="00E32DFA" w:rsidRDefault="0074335C">
            <w:pPr>
              <w:pBdr>
                <w:top w:val="nil"/>
                <w:left w:val="nil"/>
                <w:bottom w:val="nil"/>
                <w:right w:val="nil"/>
                <w:between w:val="nil"/>
              </w:pBdr>
              <w:rPr>
                <w:color w:val="000000"/>
              </w:rPr>
            </w:pPr>
            <w:r>
              <w:rPr>
                <w:color w:val="000000"/>
              </w:rPr>
              <w:t>N/A</w:t>
            </w:r>
          </w:p>
        </w:tc>
        <w:tc>
          <w:tcPr>
            <w:tcW w:w="2825" w:type="dxa"/>
          </w:tcPr>
          <w:p w:rsidR="00E32DFA" w:rsidRDefault="0074335C">
            <w:pPr>
              <w:pBdr>
                <w:top w:val="nil"/>
                <w:left w:val="nil"/>
                <w:bottom w:val="nil"/>
                <w:right w:val="nil"/>
                <w:between w:val="nil"/>
              </w:pBdr>
              <w:rPr>
                <w:color w:val="000000"/>
              </w:rPr>
            </w:pPr>
            <w:r>
              <w:rPr>
                <w:color w:val="000000"/>
              </w:rPr>
              <w:t>N/A</w:t>
            </w:r>
          </w:p>
        </w:tc>
      </w:tr>
      <w:tr w:rsidR="00E32DFA">
        <w:tc>
          <w:tcPr>
            <w:tcW w:w="2920" w:type="dxa"/>
          </w:tcPr>
          <w:p w:rsidR="00E32DFA" w:rsidRDefault="0074335C">
            <w:pPr>
              <w:pBdr>
                <w:top w:val="nil"/>
                <w:left w:val="nil"/>
                <w:bottom w:val="nil"/>
                <w:right w:val="nil"/>
                <w:between w:val="nil"/>
              </w:pBdr>
              <w:rPr>
                <w:color w:val="000000"/>
              </w:rPr>
            </w:pPr>
            <w:r>
              <w:rPr>
                <w:color w:val="000000"/>
              </w:rPr>
              <w:t>7</w:t>
            </w:r>
          </w:p>
        </w:tc>
        <w:tc>
          <w:tcPr>
            <w:tcW w:w="2825" w:type="dxa"/>
          </w:tcPr>
          <w:p w:rsidR="00E32DFA" w:rsidRDefault="0074335C">
            <w:pPr>
              <w:pBdr>
                <w:top w:val="nil"/>
                <w:left w:val="nil"/>
                <w:bottom w:val="nil"/>
                <w:right w:val="nil"/>
                <w:between w:val="nil"/>
              </w:pBdr>
              <w:rPr>
                <w:color w:val="000000"/>
              </w:rPr>
            </w:pPr>
            <w:r>
              <w:rPr>
                <w:color w:val="000000"/>
              </w:rPr>
              <w:t>N/A</w:t>
            </w:r>
          </w:p>
        </w:tc>
        <w:tc>
          <w:tcPr>
            <w:tcW w:w="2825" w:type="dxa"/>
          </w:tcPr>
          <w:p w:rsidR="00E32DFA" w:rsidRDefault="0074335C">
            <w:pPr>
              <w:pBdr>
                <w:top w:val="nil"/>
                <w:left w:val="nil"/>
                <w:bottom w:val="nil"/>
                <w:right w:val="nil"/>
                <w:between w:val="nil"/>
              </w:pBdr>
              <w:rPr>
                <w:color w:val="000000"/>
              </w:rPr>
            </w:pPr>
            <w:r>
              <w:rPr>
                <w:color w:val="000000"/>
              </w:rPr>
              <w:t>N/A</w:t>
            </w:r>
          </w:p>
        </w:tc>
      </w:tr>
    </w:tbl>
    <w:p w:rsidR="00E32DFA" w:rsidRDefault="00E32DFA">
      <w:pPr>
        <w:pBdr>
          <w:top w:val="nil"/>
          <w:left w:val="nil"/>
          <w:bottom w:val="nil"/>
          <w:right w:val="nil"/>
          <w:between w:val="nil"/>
        </w:pBdr>
        <w:ind w:left="780"/>
        <w:jc w:val="left"/>
        <w:rPr>
          <w:color w:val="000000"/>
        </w:rPr>
      </w:pPr>
    </w:p>
    <w:p w:rsidR="00E32DFA" w:rsidRDefault="0074335C">
      <w:pPr>
        <w:numPr>
          <w:ilvl w:val="0"/>
          <w:numId w:val="3"/>
        </w:numPr>
        <w:pBdr>
          <w:top w:val="nil"/>
          <w:left w:val="nil"/>
          <w:bottom w:val="nil"/>
          <w:right w:val="nil"/>
          <w:between w:val="nil"/>
        </w:pBdr>
        <w:jc w:val="left"/>
      </w:pPr>
      <w:r>
        <w:rPr>
          <w:color w:val="000000"/>
        </w:rPr>
        <w:t xml:space="preserve">Testing will be conducted </w:t>
      </w:r>
      <w:r>
        <w:t xml:space="preserve">in the cafeteria at roughly 8:15 am, </w:t>
      </w:r>
      <w:r>
        <w:rPr>
          <w:color w:val="000000"/>
        </w:rPr>
        <w:t xml:space="preserve">by Nurse </w:t>
      </w:r>
      <w:r>
        <w:t>Ortiz</w:t>
      </w:r>
      <w:r>
        <w:rPr>
          <w:color w:val="000000"/>
        </w:rPr>
        <w:t xml:space="preserve"> or </w:t>
      </w:r>
      <w:r>
        <w:t>her</w:t>
      </w:r>
      <w:r>
        <w:rPr>
          <w:color w:val="000000"/>
        </w:rPr>
        <w:t xml:space="preserve"> t</w:t>
      </w:r>
      <w:r>
        <w:t>rained designee</w:t>
      </w:r>
      <w:r>
        <w:rPr>
          <w:color w:val="000000"/>
        </w:rPr>
        <w:t xml:space="preserve">.  </w:t>
      </w:r>
    </w:p>
    <w:p w:rsidR="00E32DFA" w:rsidRDefault="0074335C">
      <w:pPr>
        <w:numPr>
          <w:ilvl w:val="0"/>
          <w:numId w:val="3"/>
        </w:numPr>
        <w:pBdr>
          <w:top w:val="nil"/>
          <w:left w:val="nil"/>
          <w:bottom w:val="nil"/>
          <w:right w:val="nil"/>
          <w:between w:val="nil"/>
        </w:pBdr>
        <w:jc w:val="left"/>
      </w:pPr>
      <w:r>
        <w:t>The exposed individual’s parent or guardian MUST be present.</w:t>
      </w:r>
    </w:p>
    <w:p w:rsidR="00E32DFA" w:rsidRDefault="0074335C">
      <w:pPr>
        <w:numPr>
          <w:ilvl w:val="0"/>
          <w:numId w:val="3"/>
        </w:numPr>
        <w:pBdr>
          <w:top w:val="nil"/>
          <w:left w:val="nil"/>
          <w:bottom w:val="nil"/>
          <w:right w:val="nil"/>
          <w:between w:val="nil"/>
        </w:pBdr>
        <w:jc w:val="left"/>
      </w:pPr>
      <w:r>
        <w:rPr>
          <w:color w:val="000000"/>
        </w:rPr>
        <w:t>If the test result is positive, the</w:t>
      </w:r>
      <w:r>
        <w:t xml:space="preserve"> </w:t>
      </w:r>
      <w:r>
        <w:rPr>
          <w:color w:val="000000"/>
        </w:rPr>
        <w:t>individual will be isolated and required to return home.  The district will then contact the Washington County Department of Health to inform them of the positive case and to assist with any school-related contact-tracing requirements.</w:t>
      </w:r>
    </w:p>
    <w:p w:rsidR="00E32DFA" w:rsidRDefault="0074335C">
      <w:pPr>
        <w:numPr>
          <w:ilvl w:val="0"/>
          <w:numId w:val="3"/>
        </w:numPr>
        <w:pBdr>
          <w:top w:val="nil"/>
          <w:left w:val="nil"/>
          <w:bottom w:val="nil"/>
          <w:right w:val="nil"/>
          <w:between w:val="nil"/>
        </w:pBdr>
        <w:jc w:val="left"/>
      </w:pPr>
      <w:bookmarkStart w:id="3" w:name="_heading=h.30j0zll" w:colFirst="0" w:colLast="0"/>
      <w:bookmarkEnd w:id="3"/>
      <w:r>
        <w:rPr>
          <w:color w:val="000000"/>
        </w:rPr>
        <w:t>At home testing is n</w:t>
      </w:r>
      <w:r>
        <w:rPr>
          <w:color w:val="000000"/>
        </w:rPr>
        <w:t>ot allowed for the TTS program.</w:t>
      </w:r>
    </w:p>
    <w:p w:rsidR="00E32DFA" w:rsidRDefault="00E32DFA">
      <w:pPr>
        <w:pBdr>
          <w:top w:val="nil"/>
          <w:left w:val="nil"/>
          <w:bottom w:val="nil"/>
          <w:right w:val="nil"/>
          <w:between w:val="nil"/>
        </w:pBdr>
        <w:jc w:val="left"/>
      </w:pPr>
      <w:bookmarkStart w:id="4" w:name="_heading=h.207ziz851tx0" w:colFirst="0" w:colLast="0"/>
      <w:bookmarkEnd w:id="4"/>
    </w:p>
    <w:p w:rsidR="00E32DFA" w:rsidRDefault="0074335C">
      <w:pPr>
        <w:pBdr>
          <w:top w:val="nil"/>
          <w:left w:val="nil"/>
          <w:bottom w:val="nil"/>
          <w:right w:val="nil"/>
          <w:between w:val="nil"/>
        </w:pBdr>
        <w:jc w:val="left"/>
      </w:pPr>
      <w:bookmarkStart w:id="5" w:name="_heading=h.gdz2ys2i6r9d" w:colFirst="0" w:colLast="0"/>
      <w:bookmarkEnd w:id="5"/>
      <w:r>
        <w:t xml:space="preserve">The TTS program is contingent upon the availability of test kits.  If the district does not have the required number of kits to complete the process, the TTS program will be suspended until more tests are available. </w:t>
      </w:r>
    </w:p>
    <w:p w:rsidR="00E32DFA" w:rsidRDefault="00E32DFA">
      <w:pPr>
        <w:pBdr>
          <w:top w:val="nil"/>
          <w:left w:val="nil"/>
          <w:bottom w:val="nil"/>
          <w:right w:val="nil"/>
          <w:between w:val="nil"/>
        </w:pBdr>
        <w:jc w:val="left"/>
      </w:pPr>
      <w:bookmarkStart w:id="6" w:name="_heading=h.vy8utffjmtiz" w:colFirst="0" w:colLast="0"/>
      <w:bookmarkEnd w:id="6"/>
    </w:p>
    <w:p w:rsidR="00E32DFA" w:rsidRDefault="0074335C">
      <w:pPr>
        <w:pBdr>
          <w:top w:val="nil"/>
          <w:left w:val="nil"/>
          <w:bottom w:val="nil"/>
          <w:right w:val="nil"/>
          <w:between w:val="nil"/>
        </w:pBdr>
        <w:jc w:val="left"/>
      </w:pPr>
      <w:bookmarkStart w:id="7" w:name="_heading=h.e6p0h4jdwoqk" w:colFirst="0" w:colLast="0"/>
      <w:bookmarkEnd w:id="7"/>
      <w:r>
        <w:t>Parti</w:t>
      </w:r>
      <w:r>
        <w:t xml:space="preserve">cipating individuals must continue to follow any quarantine orders from the Department of Health.  Participating in the TTS program does not exempt exposed individuals from quarantine orders, beyond attending school. </w:t>
      </w:r>
    </w:p>
    <w:sectPr w:rsidR="00E32DF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5C" w:rsidRDefault="0074335C">
      <w:r>
        <w:separator/>
      </w:r>
    </w:p>
  </w:endnote>
  <w:endnote w:type="continuationSeparator" w:id="0">
    <w:p w:rsidR="0074335C" w:rsidRDefault="0074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5C" w:rsidRDefault="0074335C">
      <w:r>
        <w:separator/>
      </w:r>
    </w:p>
  </w:footnote>
  <w:footnote w:type="continuationSeparator" w:id="0">
    <w:p w:rsidR="0074335C" w:rsidRDefault="0074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FA" w:rsidRDefault="0074335C">
    <w:pPr>
      <w:pBdr>
        <w:top w:val="nil"/>
        <w:left w:val="nil"/>
        <w:bottom w:val="nil"/>
        <w:right w:val="nil"/>
        <w:between w:val="nil"/>
      </w:pBdr>
      <w:tabs>
        <w:tab w:val="center" w:pos="4680"/>
        <w:tab w:val="right" w:pos="9360"/>
      </w:tabs>
      <w:rPr>
        <w:color w:val="000000"/>
      </w:rPr>
    </w:pPr>
    <w:r>
      <w:t xml:space="preserve">FORT ANN </w:t>
    </w:r>
    <w:r>
      <w:rPr>
        <w:color w:val="000000"/>
      </w:rPr>
      <w:t>CENTRAL SCHOOL DISTRICT</w:t>
    </w:r>
  </w:p>
  <w:p w:rsidR="00E32DFA" w:rsidRDefault="0074335C">
    <w:pPr>
      <w:pBdr>
        <w:top w:val="nil"/>
        <w:left w:val="nil"/>
        <w:bottom w:val="nil"/>
        <w:right w:val="nil"/>
        <w:between w:val="nil"/>
      </w:pBdr>
      <w:tabs>
        <w:tab w:val="center" w:pos="4680"/>
        <w:tab w:val="right" w:pos="9360"/>
      </w:tabs>
      <w:rPr>
        <w:color w:val="000000"/>
      </w:rPr>
    </w:pPr>
    <w:r>
      <w:rPr>
        <w:noProof/>
      </w:rPr>
      <w:drawing>
        <wp:inline distT="114300" distB="114300" distL="114300" distR="114300">
          <wp:extent cx="714375" cy="7143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4375" cy="714375"/>
                  </a:xfrm>
                  <a:prstGeom prst="rect">
                    <a:avLst/>
                  </a:prstGeom>
                  <a:ln/>
                </pic:spPr>
              </pic:pic>
            </a:graphicData>
          </a:graphic>
        </wp:inline>
      </w:drawing>
    </w:r>
  </w:p>
  <w:p w:rsidR="00E32DFA" w:rsidRDefault="0074335C">
    <w:pPr>
      <w:pBdr>
        <w:top w:val="nil"/>
        <w:left w:val="nil"/>
        <w:bottom w:val="nil"/>
        <w:right w:val="nil"/>
        <w:between w:val="nil"/>
      </w:pBdr>
      <w:tabs>
        <w:tab w:val="center" w:pos="4680"/>
        <w:tab w:val="right" w:pos="9360"/>
      </w:tabs>
      <w:rPr>
        <w:color w:val="000000"/>
      </w:rPr>
    </w:pPr>
    <w:r>
      <w:rPr>
        <w:color w:val="000000"/>
      </w:rPr>
      <w:t>“Test to Stay” 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7F0"/>
    <w:multiLevelType w:val="multilevel"/>
    <w:tmpl w:val="6406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D0BC4"/>
    <w:multiLevelType w:val="multilevel"/>
    <w:tmpl w:val="3D8EC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DD62F4"/>
    <w:multiLevelType w:val="multilevel"/>
    <w:tmpl w:val="DDE67E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FA"/>
    <w:rsid w:val="00456071"/>
    <w:rsid w:val="0074335C"/>
    <w:rsid w:val="00E3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FA07"/>
  <w15:docId w15:val="{D73EC177-39D3-493F-8E7B-74F57437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31FD"/>
    <w:pPr>
      <w:tabs>
        <w:tab w:val="center" w:pos="4680"/>
        <w:tab w:val="right" w:pos="9360"/>
      </w:tabs>
    </w:pPr>
  </w:style>
  <w:style w:type="character" w:customStyle="1" w:styleId="HeaderChar">
    <w:name w:val="Header Char"/>
    <w:basedOn w:val="DefaultParagraphFont"/>
    <w:link w:val="Header"/>
    <w:uiPriority w:val="99"/>
    <w:rsid w:val="00FE31FD"/>
  </w:style>
  <w:style w:type="paragraph" w:styleId="Footer">
    <w:name w:val="footer"/>
    <w:basedOn w:val="Normal"/>
    <w:link w:val="FooterChar"/>
    <w:uiPriority w:val="99"/>
    <w:unhideWhenUsed/>
    <w:rsid w:val="00FE31FD"/>
    <w:pPr>
      <w:tabs>
        <w:tab w:val="center" w:pos="4680"/>
        <w:tab w:val="right" w:pos="9360"/>
      </w:tabs>
    </w:pPr>
  </w:style>
  <w:style w:type="character" w:customStyle="1" w:styleId="FooterChar">
    <w:name w:val="Footer Char"/>
    <w:basedOn w:val="DefaultParagraphFont"/>
    <w:link w:val="Footer"/>
    <w:uiPriority w:val="99"/>
    <w:rsid w:val="00FE31FD"/>
  </w:style>
  <w:style w:type="paragraph" w:styleId="ListParagraph">
    <w:name w:val="List Paragraph"/>
    <w:basedOn w:val="Normal"/>
    <w:uiPriority w:val="34"/>
    <w:qFormat/>
    <w:rsid w:val="00FE31FD"/>
    <w:pPr>
      <w:ind w:left="720"/>
      <w:contextualSpacing/>
    </w:pPr>
  </w:style>
  <w:style w:type="table" w:styleId="TableGrid">
    <w:name w:val="Table Grid"/>
    <w:basedOn w:val="TableNormal"/>
    <w:uiPriority w:val="39"/>
    <w:rsid w:val="0018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02Bn5myCVA3mnMVG+/ZmmNBg==">AMUW2mWNuP4PYvbIZamB2HDk2ZafsbvNWRPnsqejCeyMto0MCBR978zfnYzWt9TTFE5H1O0QundiZXlG+icHG11eHaRAHA+izRUxtR9YZ2rWdC3Yz2H+TMgfhilszW2T5HlyNUbfjBH4IS1yPQRmDlJyhP1PXKWgSwj5+8GJuGF1U4S748pwQkNrw+ZmTgk9d09dQShcJxhyUuIByVkxPNL2b6lLPsBMx/DTOil03oeadVq3DMKkubc=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2793</Characters>
  <Application>Microsoft Office Word</Application>
  <DocSecurity>0</DocSecurity>
  <Lines>23</Lines>
  <Paragraphs>6</Paragraphs>
  <ScaleCrop>false</ScaleCrop>
  <Company>Fort Ann Central School</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Cook</dc:creator>
  <cp:lastModifiedBy>Hoskins, Justin</cp:lastModifiedBy>
  <cp:revision>3</cp:revision>
  <dcterms:created xsi:type="dcterms:W3CDTF">2021-12-30T13:34:00Z</dcterms:created>
  <dcterms:modified xsi:type="dcterms:W3CDTF">2022-01-19T16:47:00Z</dcterms:modified>
</cp:coreProperties>
</file>